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87D1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仿宋_GB2312" w:hAnsi="仿宋_GB2312" w:eastAsia="仿宋_GB2312" w:cs="仿宋_GB2312"/>
          <w:sz w:val="40"/>
          <w:szCs w:val="22"/>
          <w:lang w:eastAsia="zh-CN"/>
        </w:rPr>
      </w:pPr>
      <w:r>
        <w:rPr>
          <w:rFonts w:hint="eastAsia" w:ascii="仿宋_GB2312" w:hAnsi="仿宋_GB2312" w:eastAsia="仿宋_GB2312" w:cs="仿宋_GB2312"/>
          <w:sz w:val="40"/>
          <w:szCs w:val="22"/>
        </w:rPr>
        <w:t>北京市教育学会教育科研课题管理办法</w:t>
      </w:r>
      <w:r>
        <w:rPr>
          <w:rFonts w:hint="eastAsia" w:ascii="仿宋_GB2312" w:hAnsi="仿宋_GB2312" w:eastAsia="仿宋_GB2312" w:cs="仿宋_GB2312"/>
          <w:sz w:val="40"/>
          <w:szCs w:val="22"/>
          <w:lang w:eastAsia="zh-CN"/>
        </w:rPr>
        <w:t>（</w:t>
      </w:r>
      <w:r>
        <w:rPr>
          <w:rFonts w:hint="eastAsia" w:ascii="仿宋_GB2312" w:hAnsi="仿宋_GB2312" w:eastAsia="仿宋_GB2312" w:cs="仿宋_GB2312"/>
          <w:sz w:val="40"/>
          <w:szCs w:val="22"/>
          <w:lang w:val="en-US" w:eastAsia="zh-CN"/>
        </w:rPr>
        <w:t>修订</w:t>
      </w:r>
      <w:r>
        <w:rPr>
          <w:rFonts w:hint="eastAsia" w:ascii="仿宋_GB2312" w:hAnsi="仿宋_GB2312" w:eastAsia="仿宋_GB2312" w:cs="仿宋_GB2312"/>
          <w:sz w:val="40"/>
          <w:szCs w:val="22"/>
          <w:lang w:eastAsia="zh-CN"/>
        </w:rPr>
        <w:t>）</w:t>
      </w:r>
    </w:p>
    <w:p w14:paraId="4FF31FC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仿宋_GB2312" w:hAnsi="仿宋_GB2312" w:eastAsia="仿宋_GB2312" w:cs="仿宋_GB2312"/>
          <w:b/>
          <w:bCs w:val="0"/>
          <w:sz w:val="28"/>
          <w:szCs w:val="22"/>
        </w:rPr>
      </w:pPr>
      <w:r>
        <w:rPr>
          <w:rFonts w:hint="eastAsia" w:ascii="仿宋_GB2312" w:hAnsi="仿宋_GB2312" w:eastAsia="仿宋_GB2312" w:cs="仿宋_GB2312"/>
          <w:b/>
          <w:bCs w:val="0"/>
          <w:sz w:val="28"/>
          <w:szCs w:val="22"/>
          <w:lang w:val="en-US" w:eastAsia="zh-CN"/>
        </w:rPr>
        <w:t xml:space="preserve">第一章  </w:t>
      </w:r>
      <w:r>
        <w:rPr>
          <w:rFonts w:hint="eastAsia" w:ascii="仿宋_GB2312" w:hAnsi="仿宋_GB2312" w:eastAsia="仿宋_GB2312" w:cs="仿宋_GB2312"/>
          <w:b/>
          <w:bCs w:val="0"/>
          <w:sz w:val="28"/>
          <w:szCs w:val="22"/>
        </w:rPr>
        <w:t>总则</w:t>
      </w:r>
    </w:p>
    <w:p w14:paraId="3D15F47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 xml:space="preserve">第一条 </w:t>
      </w:r>
      <w:r>
        <w:rPr>
          <w:rFonts w:hint="eastAsia" w:ascii="仿宋" w:hAnsi="仿宋" w:eastAsia="仿宋"/>
          <w:color w:val="000000" w:themeColor="text1"/>
          <w:sz w:val="24"/>
          <w:szCs w:val="24"/>
          <w:lang w:val="en-US" w:eastAsia="zh-CN"/>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为加强北京市教育学会</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以下简称“本会”</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教育科研课题的科学化、规范化管理，有组织</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有计划地推动群众性教育科研活动高质量发展，特制定本方法。</w:t>
      </w:r>
    </w:p>
    <w:p w14:paraId="400114F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第二条  本会教育科研</w:t>
      </w:r>
      <w:r>
        <w:rPr>
          <w:rFonts w:hint="eastAsia" w:ascii="仿宋" w:hAnsi="仿宋" w:eastAsia="仿宋"/>
          <w:color w:val="000000" w:themeColor="text1"/>
          <w:sz w:val="24"/>
          <w:szCs w:val="24"/>
          <w14:textFill>
            <w14:solidFill>
              <w14:schemeClr w14:val="tx1"/>
            </w14:solidFill>
          </w14:textFill>
        </w:rPr>
        <w:t>课题研究</w:t>
      </w:r>
      <w:r>
        <w:rPr>
          <w:rFonts w:hint="eastAsia" w:ascii="仿宋" w:hAnsi="仿宋" w:eastAsia="仿宋"/>
          <w:color w:val="000000" w:themeColor="text1"/>
          <w:sz w:val="24"/>
          <w14:textFill>
            <w14:solidFill>
              <w14:schemeClr w14:val="tx1"/>
            </w14:solidFill>
          </w14:textFill>
        </w:rPr>
        <w:t>必须坚持以习近平新时代中国特色社会主义思想为指导，深入贯彻党的</w:t>
      </w:r>
      <w:r>
        <w:rPr>
          <w:rFonts w:hint="eastAsia" w:ascii="仿宋" w:hAnsi="仿宋" w:eastAsia="仿宋"/>
          <w:color w:val="000000" w:themeColor="text1"/>
          <w:sz w:val="24"/>
          <w:lang w:val="en-US" w:eastAsia="zh-CN"/>
          <w14:textFill>
            <w14:solidFill>
              <w14:schemeClr w14:val="tx1"/>
            </w14:solidFill>
          </w14:textFill>
        </w:rPr>
        <w:t>二十</w:t>
      </w:r>
      <w:r>
        <w:rPr>
          <w:rFonts w:hint="eastAsia" w:ascii="仿宋" w:hAnsi="仿宋" w:eastAsia="仿宋"/>
          <w:color w:val="000000" w:themeColor="text1"/>
          <w:sz w:val="24"/>
          <w14:textFill>
            <w14:solidFill>
              <w14:schemeClr w14:val="tx1"/>
            </w14:solidFill>
          </w14:textFill>
        </w:rPr>
        <w:t>大精神，深入贯彻习近平总书记对北京重要讲话精神，全面贯彻党的教育方针，全面落实全国和全市教育大会精神，树牢“四个意识”，坚定“四个自信”，做到“两个维护”，紧紧围绕首都城市战略定位，不断提升首都教育科研质量和服务水平，充分发挥教育科研创新理论、服务决策、指导实践、引导舆论的重要功能，为扎实推进教育现代化、办好人民满意的教育提供有力的智力支持和知识贡献。</w:t>
      </w:r>
    </w:p>
    <w:p w14:paraId="69B2CC4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xml:space="preserve">第三条  </w:t>
      </w:r>
      <w:r>
        <w:rPr>
          <w:rFonts w:hint="eastAsia" w:ascii="仿宋" w:hAnsi="仿宋" w:eastAsia="仿宋"/>
          <w:color w:val="000000" w:themeColor="text1"/>
          <w:sz w:val="24"/>
          <w:szCs w:val="24"/>
          <w14:textFill>
            <w14:solidFill>
              <w14:schemeClr w14:val="tx1"/>
            </w14:solidFill>
          </w14:textFill>
        </w:rPr>
        <w:t>课题</w:t>
      </w:r>
      <w:r>
        <w:rPr>
          <w:rFonts w:hint="eastAsia" w:ascii="仿宋" w:hAnsi="仿宋" w:eastAsia="仿宋"/>
          <w:color w:val="000000" w:themeColor="text1"/>
          <w:sz w:val="24"/>
          <w:szCs w:val="24"/>
          <w:lang w:val="en-US" w:eastAsia="zh-CN"/>
          <w14:textFill>
            <w14:solidFill>
              <w14:schemeClr w14:val="tx1"/>
            </w14:solidFill>
          </w14:textFill>
        </w:rPr>
        <w:t>研究</w:t>
      </w:r>
      <w:r>
        <w:rPr>
          <w:rFonts w:hint="eastAsia" w:ascii="仿宋" w:hAnsi="仿宋" w:eastAsia="仿宋"/>
          <w:color w:val="000000" w:themeColor="text1"/>
          <w:sz w:val="24"/>
          <w:szCs w:val="24"/>
          <w14:textFill>
            <w14:solidFill>
              <w14:schemeClr w14:val="tx1"/>
            </w14:solidFill>
          </w14:textFill>
        </w:rPr>
        <w:t>必须坚持正确的政治方向和学术导向，具有科学性、实践性、前瞻性、创新性</w:t>
      </w:r>
      <w:r>
        <w:rPr>
          <w:rFonts w:hint="eastAsia" w:ascii="仿宋" w:hAnsi="仿宋" w:eastAsia="仿宋"/>
          <w:color w:val="000000" w:themeColor="text1"/>
          <w:sz w:val="24"/>
          <w:szCs w:val="24"/>
          <w:lang w:val="en-US" w:eastAsia="zh-CN"/>
          <w14:textFill>
            <w14:solidFill>
              <w14:schemeClr w14:val="tx1"/>
            </w14:solidFill>
          </w14:textFill>
        </w:rPr>
        <w:t>和</w:t>
      </w:r>
      <w:r>
        <w:rPr>
          <w:rFonts w:hint="eastAsia" w:ascii="仿宋" w:hAnsi="仿宋" w:eastAsia="仿宋"/>
          <w:color w:val="000000" w:themeColor="text1"/>
          <w:sz w:val="24"/>
          <w:szCs w:val="24"/>
          <w14:textFill>
            <w14:solidFill>
              <w14:schemeClr w14:val="tx1"/>
            </w14:solidFill>
          </w14:textFill>
        </w:rPr>
        <w:t>有效性</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坚持体现研究的群众性，最大程度地调动基础教育领域教育科研工作者的积极性；坚持研究的应用性，鼓励基层教育工作者以</w:t>
      </w:r>
      <w:r>
        <w:rPr>
          <w:rFonts w:hint="eastAsia" w:ascii="仿宋" w:hAnsi="仿宋" w:eastAsia="仿宋"/>
          <w:color w:val="000000" w:themeColor="text1"/>
          <w:sz w:val="24"/>
          <w:szCs w:val="24"/>
          <w:lang w:val="en-US" w:eastAsia="zh-CN"/>
          <w14:textFill>
            <w14:solidFill>
              <w14:schemeClr w14:val="tx1"/>
            </w14:solidFill>
          </w14:textFill>
        </w:rPr>
        <w:t>北京</w:t>
      </w:r>
      <w:r>
        <w:rPr>
          <w:rFonts w:hint="eastAsia" w:ascii="仿宋" w:hAnsi="仿宋" w:eastAsia="仿宋"/>
          <w:color w:val="000000" w:themeColor="text1"/>
          <w:sz w:val="24"/>
          <w:szCs w:val="24"/>
          <w14:textFill>
            <w14:solidFill>
              <w14:schemeClr w14:val="tx1"/>
            </w14:solidFill>
          </w14:textFill>
        </w:rPr>
        <w:t>市教育改革与发展中的实践问题为主攻方向，突出研究的实践应用价值、决策参考价值和理论创新价值。重视跨学科综合研究，鼓励区域协同研究。</w:t>
      </w:r>
    </w:p>
    <w:p w14:paraId="011B3A3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第四条  本会教育科研课题分为重大课题、重点课题、一般课题和专项课题四类。</w:t>
      </w:r>
    </w:p>
    <w:p w14:paraId="46C63A3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重大课题：聚焦服务首都教育高质量发展全局性、战略性、前瞻性重大问题，围绕市委市政府及市教育两委中心工作开展集成攻关。课题应具有突出的理论创新价值、重大的实践引领作用和直接的决策支撑功能。</w:t>
      </w:r>
    </w:p>
    <w:p w14:paraId="4CC1AD0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重点课题：聚焦首都教育改革发展的重点、难点和热点问题，具有较强的理论深度、实践引领性和决策参考价值。</w:t>
      </w:r>
    </w:p>
    <w:p w14:paraId="68E3D84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一般课题：围绕教育教学实践中的具体问题开展研究，具有明确的实践应用价值。</w:t>
      </w:r>
    </w:p>
    <w:p w14:paraId="655D1AC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专项课题：旨在解决当前首都教育改革与发展中面临的急难问题，</w:t>
      </w:r>
      <w:r>
        <w:rPr>
          <w:rFonts w:hint="eastAsia" w:ascii="仿宋" w:hAnsi="仿宋" w:eastAsia="仿宋"/>
          <w:color w:val="000000" w:themeColor="text1"/>
          <w:sz w:val="24"/>
          <w14:textFill>
            <w14:solidFill>
              <w14:schemeClr w14:val="tx1"/>
            </w14:solidFill>
          </w14:textFill>
        </w:rPr>
        <w:t>聚焦“小切口、深挖掘、快响应”，强调在短期内形成可复制、可推广的实操性解决方案</w:t>
      </w:r>
      <w:r>
        <w:rPr>
          <w:rFonts w:hint="eastAsia" w:ascii="仿宋" w:hAnsi="仿宋" w:eastAsia="仿宋"/>
          <w:color w:val="000000" w:themeColor="text1"/>
          <w:sz w:val="24"/>
          <w:szCs w:val="24"/>
          <w:lang w:val="en-US" w:eastAsia="zh-CN"/>
          <w14:textFill>
            <w14:solidFill>
              <w14:schemeClr w14:val="tx1"/>
            </w14:solidFill>
          </w14:textFill>
        </w:rPr>
        <w:t>。</w:t>
      </w:r>
    </w:p>
    <w:p w14:paraId="385052C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第五条  本会</w:t>
      </w:r>
      <w:r>
        <w:rPr>
          <w:rFonts w:hint="eastAsia" w:ascii="仿宋" w:hAnsi="仿宋" w:eastAsia="仿宋"/>
          <w:color w:val="000000" w:themeColor="text1"/>
          <w:sz w:val="24"/>
          <w:szCs w:val="24"/>
          <w14:textFill>
            <w14:solidFill>
              <w14:schemeClr w14:val="tx1"/>
            </w14:solidFill>
          </w14:textFill>
        </w:rPr>
        <w:t>下属分支机构不再单独设立科研课题。</w:t>
      </w:r>
    </w:p>
    <w:p w14:paraId="1579EE8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14:textFill>
            <w14:solidFill>
              <w14:schemeClr w14:val="tx1"/>
            </w14:solidFill>
          </w14:textFill>
        </w:rPr>
      </w:pPr>
    </w:p>
    <w:p w14:paraId="43E61E2A">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default"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第二章  组织机构与职责</w:t>
      </w:r>
    </w:p>
    <w:p w14:paraId="5FE33D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第六条  本会秘书处具体负责科研课题的日常管理工作。包括：组织课题申报、资质审核与立项评审；委派专家指导各区教育学会、专业委员会和会员个人进行研究；组织学术交流、科研培训、成果评奖与推广；负责重大课题、重点课题、专项课题的全过程管理及一般课题的备案管理；建立和维护专家资源库。</w:t>
      </w:r>
    </w:p>
    <w:p w14:paraId="098DE52A">
      <w:pPr>
        <w:spacing w:line="360" w:lineRule="auto"/>
        <w:ind w:firstLine="480"/>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第七条  本会委托各区教育学会、专业委员会（以下统称“受委托单位”）依照本办法对有关课题实施管理，主要职责包括：宣传、组织、管理和指导本区/专委会的课题申报工作；对申请人进行资格审查，对申报材料的真实性、规范性进行审核并签署意见；负责一般课题的日常管理、中期检查和结题鉴定，及重点课题和专项课题的备案工作；汇总并报送本区的申报材料。</w:t>
      </w:r>
    </w:p>
    <w:p w14:paraId="35D39CF6">
      <w:pPr>
        <w:spacing w:line="360" w:lineRule="auto"/>
        <w:ind w:firstLine="480"/>
        <w:rPr>
          <w:rFonts w:hint="eastAsia" w:ascii="仿宋" w:hAnsi="仿宋" w:eastAsia="仿宋"/>
          <w:color w:val="000000" w:themeColor="text1"/>
          <w:sz w:val="24"/>
          <w:szCs w:val="24"/>
          <w:lang w:val="en-US" w:eastAsia="zh-CN"/>
          <w14:textFill>
            <w14:solidFill>
              <w14:schemeClr w14:val="tx1"/>
            </w14:solidFill>
          </w14:textFill>
        </w:rPr>
      </w:pPr>
    </w:p>
    <w:p w14:paraId="1E37371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第三章  课题申报</w:t>
      </w:r>
    </w:p>
    <w:p w14:paraId="474886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第八条  教育科研规划课题指南通常每五年发布一次。规划实施期间，通常每年受理课题申报一次。</w:t>
      </w:r>
    </w:p>
    <w:p w14:paraId="3E53B76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第九条  课题申请人应符合以下条件：</w:t>
      </w:r>
    </w:p>
    <w:p w14:paraId="1865A3D9">
      <w:pPr>
        <w:spacing w:line="360" w:lineRule="auto"/>
        <w:ind w:firstLine="480" w:firstLineChars="200"/>
        <w:rPr>
          <w:rFonts w:ascii="宋体" w:hAnsi="宋体" w:eastAsia="宋体" w:cs="宋体"/>
          <w:sz w:val="24"/>
          <w:szCs w:val="32"/>
        </w:rPr>
      </w:pPr>
      <w:r>
        <w:rPr>
          <w:rFonts w:hint="eastAsia" w:ascii="仿宋" w:hAnsi="仿宋" w:eastAsia="仿宋"/>
          <w:color w:val="000000" w:themeColor="text1"/>
          <w:sz w:val="24"/>
          <w:szCs w:val="24"/>
          <w:lang w:val="en-US" w:eastAsia="zh-CN"/>
          <w14:textFill>
            <w14:solidFill>
              <w14:schemeClr w14:val="tx1"/>
            </w14:solidFill>
          </w14:textFill>
        </w:rPr>
        <w:t>（一）北京市教育学会注册会员或</w:t>
      </w:r>
      <w:r>
        <w:rPr>
          <w:rFonts w:hint="eastAsia" w:ascii="仿宋" w:hAnsi="仿宋" w:eastAsia="仿宋"/>
          <w:color w:val="auto"/>
          <w:sz w:val="24"/>
          <w:szCs w:val="24"/>
          <w:lang w:val="en-US" w:eastAsia="zh-CN"/>
        </w:rPr>
        <w:t>单位会员教职人员</w:t>
      </w:r>
      <w:r>
        <w:rPr>
          <w:rFonts w:hint="eastAsia" w:ascii="仿宋" w:hAnsi="仿宋" w:eastAsia="仿宋"/>
          <w:color w:val="000000" w:themeColor="text1"/>
          <w:sz w:val="24"/>
          <w:szCs w:val="24"/>
          <w:lang w:val="en-US" w:eastAsia="zh-CN"/>
          <w14:textFill>
            <w14:solidFill>
              <w14:schemeClr w14:val="tx1"/>
            </w14:solidFill>
          </w14:textFill>
        </w:rPr>
        <w:t>；</w:t>
      </w:r>
    </w:p>
    <w:p w14:paraId="0DA8AF2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（二）具有中级（含）以上专业技术职称；不具备中级（含）以上专业技术职称的申请人，须有两名副高级专业技术职称的同行专家书面推荐；</w:t>
      </w:r>
    </w:p>
    <w:p w14:paraId="7287E8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（三）</w:t>
      </w:r>
      <w:r>
        <w:rPr>
          <w:rFonts w:hint="eastAsia" w:ascii="仿宋" w:hAnsi="仿宋" w:eastAsia="仿宋"/>
          <w:color w:val="000000" w:themeColor="text1"/>
          <w:sz w:val="24"/>
          <w14:textFill>
            <w14:solidFill>
              <w14:schemeClr w14:val="tx1"/>
            </w14:solidFill>
          </w14:textFill>
        </w:rPr>
        <w:t>具有独立开展研究和组织开展研究的能力，能够承担实质性研究工作</w:t>
      </w:r>
      <w:r>
        <w:rPr>
          <w:rFonts w:hint="eastAsia" w:ascii="仿宋" w:hAnsi="仿宋" w:eastAsia="仿宋"/>
          <w:color w:val="000000" w:themeColor="text1"/>
          <w:sz w:val="24"/>
          <w:szCs w:val="24"/>
          <w:lang w:val="en-US" w:eastAsia="zh-CN"/>
          <w14:textFill>
            <w14:solidFill>
              <w14:schemeClr w14:val="tx1"/>
            </w14:solidFill>
          </w14:textFill>
        </w:rPr>
        <w:t>；</w:t>
      </w:r>
    </w:p>
    <w:p w14:paraId="1B5446C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（四）所在单位应能提供开展研究工作的必要保障条件，如研究资料、实验仪器设备、配套经费、研究时间及所在单位试验条件等；</w:t>
      </w:r>
    </w:p>
    <w:p w14:paraId="395467FE">
      <w:pPr>
        <w:adjustRightInd w:val="0"/>
        <w:spacing w:line="360" w:lineRule="auto"/>
        <w:ind w:firstLine="480" w:firstLineChars="200"/>
        <w:rPr>
          <w:rFonts w:ascii="宋体" w:hAnsi="宋体" w:eastAsia="宋体" w:cs="宋体"/>
          <w:sz w:val="24"/>
          <w:szCs w:val="32"/>
        </w:rPr>
      </w:pPr>
      <w:r>
        <w:rPr>
          <w:rFonts w:hint="eastAsia" w:ascii="仿宋" w:hAnsi="仿宋" w:eastAsia="仿宋"/>
          <w:color w:val="000000" w:themeColor="text1"/>
          <w:sz w:val="24"/>
          <w:szCs w:val="24"/>
          <w:lang w:val="en-US" w:eastAsia="zh-CN"/>
          <w14:textFill>
            <w14:solidFill>
              <w14:schemeClr w14:val="tx1"/>
            </w14:solidFill>
          </w14:textFill>
        </w:rPr>
        <w:t>（五）申请人同一年度只能申请一项本会课题，且不得同时主持两项及以上的本会课题；</w:t>
      </w:r>
    </w:p>
    <w:p w14:paraId="7C89A98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（六）无在研本会课题；无逾期未结题情况；无违背科研诚信的行为。</w:t>
      </w:r>
    </w:p>
    <w:p w14:paraId="63E4149D">
      <w:pPr>
        <w:adjustRightInd w:val="0"/>
        <w:spacing w:line="360" w:lineRule="auto"/>
        <w:ind w:firstLine="480" w:firstLineChars="200"/>
        <w:rPr>
          <w:rFonts w:ascii="宋体" w:hAnsi="宋体" w:eastAsia="宋体" w:cs="宋体"/>
          <w:sz w:val="24"/>
          <w:szCs w:val="32"/>
        </w:rPr>
      </w:pPr>
      <w:r>
        <w:rPr>
          <w:rFonts w:hint="eastAsia" w:ascii="仿宋" w:hAnsi="仿宋" w:eastAsia="仿宋"/>
          <w:color w:val="000000" w:themeColor="text1"/>
          <w:sz w:val="24"/>
          <w:szCs w:val="24"/>
          <w:lang w:val="en-US" w:eastAsia="zh-CN"/>
          <w14:textFill>
            <w14:solidFill>
              <w14:schemeClr w14:val="tx1"/>
            </w14:solidFill>
          </w14:textFill>
        </w:rPr>
        <w:t>第十条  课题申请人1人。课题组成员不超过10人，且均应是本会会员，并须征得本人同意。</w:t>
      </w:r>
    </w:p>
    <w:p w14:paraId="5040226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第十一条  课题实行两级申报制度。申请人按照所在单位隶属关系，经所在单位审核后，分别通过各区教育学会或各专业委员会报送本会。本会不直接受理个人及学校申报。</w:t>
      </w:r>
    </w:p>
    <w:p w14:paraId="76B8B1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第十二条  课题申报程序如下：</w:t>
      </w:r>
    </w:p>
    <w:p w14:paraId="2670D1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（一）申请人依据课题指南确定研究课题，并按要求填写《课题申请书》和《课题设计论证》；</w:t>
      </w:r>
    </w:p>
    <w:p w14:paraId="252459D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（二）申请书经申请人所在单位同意后，报</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审核通过后，再报本会。</w:t>
      </w:r>
    </w:p>
    <w:p w14:paraId="2B831D4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p>
    <w:p w14:paraId="7D73D35F">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第四章  课题评审</w:t>
      </w:r>
    </w:p>
    <w:p w14:paraId="414110A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第十三条  重大课题采取会议评审或特别委托方式，其他类别课题采取网络评审</w:t>
      </w:r>
      <w:r>
        <w:rPr>
          <w:rFonts w:hint="eastAsia" w:ascii="仿宋" w:hAnsi="仿宋" w:eastAsia="仿宋"/>
          <w:color w:val="000000" w:themeColor="text1"/>
          <w:sz w:val="24"/>
          <w:szCs w:val="24"/>
          <w:highlight w:val="none"/>
          <w:lang w:val="en-US" w:eastAsia="zh-CN"/>
          <w14:textFill>
            <w14:solidFill>
              <w14:schemeClr w14:val="tx1"/>
            </w14:solidFill>
          </w14:textFill>
        </w:rPr>
        <w:t>和会议评审相结合</w:t>
      </w:r>
      <w:r>
        <w:rPr>
          <w:rFonts w:hint="eastAsia" w:ascii="仿宋" w:hAnsi="仿宋" w:eastAsia="仿宋"/>
          <w:color w:val="000000" w:themeColor="text1"/>
          <w:sz w:val="24"/>
          <w:szCs w:val="24"/>
          <w:lang w:val="en-US" w:eastAsia="zh-CN"/>
          <w14:textFill>
            <w14:solidFill>
              <w14:schemeClr w14:val="tx1"/>
            </w14:solidFill>
          </w14:textFill>
        </w:rPr>
        <w:t>的方式。</w:t>
      </w:r>
      <w:r>
        <w:rPr>
          <w:rFonts w:hint="eastAsia" w:ascii="仿宋" w:hAnsi="仿宋" w:eastAsia="仿宋"/>
          <w:color w:val="000000" w:themeColor="text1"/>
          <w:sz w:val="24"/>
          <w14:textFill>
            <w14:solidFill>
              <w14:schemeClr w14:val="tx1"/>
            </w14:solidFill>
          </w14:textFill>
        </w:rPr>
        <w:t>重点课题和一般课题的类别根据专家评审结果择优确定；专项课题按指南定向申报，根据专家评审结果确定立项名单</w:t>
      </w:r>
      <w:r>
        <w:rPr>
          <w:rFonts w:hint="eastAsia" w:ascii="仿宋" w:hAnsi="仿宋" w:eastAsia="仿宋"/>
          <w:color w:val="000000" w:themeColor="text1"/>
          <w:sz w:val="24"/>
          <w:szCs w:val="24"/>
          <w:lang w:val="en-US" w:eastAsia="zh-CN"/>
          <w14:textFill>
            <w14:solidFill>
              <w14:schemeClr w14:val="tx1"/>
            </w14:solidFill>
          </w14:textFill>
        </w:rPr>
        <w:t>。</w:t>
      </w:r>
    </w:p>
    <w:p w14:paraId="6D9301E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第十四条  建立本会各领域、学科专家资源库，动态管理专家资源。依据研究方向、研究领域和学科专业，聘请具有良好职业道德、较高学术水平的专家组成评审团队。</w:t>
      </w:r>
    </w:p>
    <w:p w14:paraId="3BBCC92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第十五条  评审专家依据本会科研课题立项评审标准进行评审，评审小组经讨论提出评审意见。本会秘书处汇总、审核专家评审结果与评审意见并报</w:t>
      </w:r>
      <w:r>
        <w:rPr>
          <w:rFonts w:hint="eastAsia" w:ascii="仿宋" w:hAnsi="仿宋" w:eastAsia="仿宋"/>
          <w:color w:val="000000" w:themeColor="text1"/>
          <w:sz w:val="24"/>
          <w:szCs w:val="24"/>
          <w:highlight w:val="none"/>
          <w:lang w:val="en-US" w:eastAsia="zh-CN"/>
          <w14:textFill>
            <w14:solidFill>
              <w14:schemeClr w14:val="tx1"/>
            </w14:solidFill>
          </w14:textFill>
        </w:rPr>
        <w:t>秘书长办公会审批。秘书长办公会对拟立项课题行使最终审批权</w:t>
      </w:r>
      <w:r>
        <w:rPr>
          <w:rFonts w:hint="eastAsia" w:ascii="仿宋" w:hAnsi="仿宋" w:eastAsia="仿宋"/>
          <w:color w:val="000000" w:themeColor="text1"/>
          <w:sz w:val="24"/>
          <w:szCs w:val="24"/>
          <w:lang w:val="en-US" w:eastAsia="zh-CN"/>
          <w14:textFill>
            <w14:solidFill>
              <w14:schemeClr w14:val="tx1"/>
            </w14:solidFill>
          </w14:textFill>
        </w:rPr>
        <w:t>。</w:t>
      </w:r>
    </w:p>
    <w:p w14:paraId="18DEF21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第十六条  拟立项课题名单将在本会官方网站进行公示。公示期满无异议后，本会颁发立项证书，并通知</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备案。</w:t>
      </w:r>
    </w:p>
    <w:p w14:paraId="07B3C5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p>
    <w:p w14:paraId="6846B624">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第五章  过程管理</w:t>
      </w:r>
    </w:p>
    <w:p w14:paraId="04F5A8E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第十七条  课题实行目标管理与过程管理相结合。本会秘书处对全部研究课题负有管理职责，并指导</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的相关管理工作；</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承担各类课题的日常管理；课题负责人所在单位应保障课题研究的正常开展。</w:t>
      </w:r>
    </w:p>
    <w:p w14:paraId="5F5CE21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第十八条  开题管理。立项名单公布后，</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通知课题负责人应在两个月内完成年度立项课题的开题</w:t>
      </w:r>
      <w:r>
        <w:rPr>
          <w:rFonts w:hint="eastAsia" w:ascii="仿宋" w:hAnsi="仿宋" w:eastAsia="仿宋"/>
          <w:color w:val="000000" w:themeColor="text1"/>
          <w:sz w:val="24"/>
          <w:szCs w:val="24"/>
          <w:highlight w:val="none"/>
          <w:lang w:val="en-US" w:eastAsia="zh-CN"/>
          <w14:textFill>
            <w14:solidFill>
              <w14:schemeClr w14:val="tx1"/>
            </w14:solidFill>
          </w14:textFill>
        </w:rPr>
        <w:t>，并做好相关的管理工作。开题专家通常为熟悉课题研究内容领域的副高级及以上职称的专家，人数为奇数（至少3人）。课题组成员、顾问不能担任本课题的开题专家，所在单位的专家不超过1人。</w:t>
      </w:r>
    </w:p>
    <w:p w14:paraId="095B174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第十九条  中期管理。课题组应按时提交中期报告，由秘书处和</w:t>
      </w:r>
      <w:r>
        <w:rPr>
          <w:rFonts w:hint="default" w:ascii="仿宋" w:hAnsi="仿宋" w:eastAsia="仿宋"/>
          <w:color w:val="000000" w:themeColor="text1"/>
          <w:sz w:val="24"/>
          <w:szCs w:val="24"/>
          <w:lang w:val="en-US" w:eastAsia="zh-CN"/>
          <w14:textFill>
            <w14:solidFill>
              <w14:schemeClr w14:val="tx1"/>
            </w14:solidFill>
          </w14:textFill>
        </w:rPr>
        <w:t>委托单位</w:t>
      </w:r>
      <w:r>
        <w:rPr>
          <w:rFonts w:hint="eastAsia" w:ascii="仿宋" w:hAnsi="仿宋" w:eastAsia="仿宋"/>
          <w:color w:val="000000" w:themeColor="text1"/>
          <w:sz w:val="24"/>
          <w:szCs w:val="24"/>
          <w:lang w:val="en-US" w:eastAsia="zh-CN"/>
          <w14:textFill>
            <w14:solidFill>
              <w14:schemeClr w14:val="tx1"/>
            </w14:solidFill>
          </w14:textFill>
        </w:rPr>
        <w:t>备案，并进行抽查。重要的阶段性成果应及时上报。</w:t>
      </w:r>
    </w:p>
    <w:p w14:paraId="08831F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第二十条  课题负责人所在单位负责组织课题的具体研究工作，要采取切实措施加强对课题的支持和对研究过程的检查和督促。</w:t>
      </w:r>
    </w:p>
    <w:p w14:paraId="296699B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第二十一条  重要事项变更。凡有下列情况之一者，课题负责人应及时填写《北京市教育学会科研课题重要事项变更申请审批表》，经所在单位同意、</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审核，报本会秘书处审批：</w:t>
      </w:r>
    </w:p>
    <w:p w14:paraId="6023D07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（一）变更课题负责人；</w:t>
      </w:r>
    </w:p>
    <w:p w14:paraId="5900DD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（二）变更课题名称（只允许在开题阶段）；</w:t>
      </w:r>
    </w:p>
    <w:p w14:paraId="1133501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highlight w:val="none"/>
          <w:lang w:val="en-US" w:eastAsia="zh-CN"/>
          <w14:textFill>
            <w14:solidFill>
              <w14:schemeClr w14:val="tx1"/>
            </w14:solidFill>
          </w14:textFill>
        </w:rPr>
      </w:pPr>
      <w:r>
        <w:rPr>
          <w:rFonts w:hint="eastAsia" w:ascii="仿宋" w:hAnsi="仿宋" w:eastAsia="仿宋"/>
          <w:color w:val="000000" w:themeColor="text1"/>
          <w:sz w:val="24"/>
          <w:szCs w:val="24"/>
          <w:highlight w:val="none"/>
          <w:lang w:val="en-US" w:eastAsia="zh-CN"/>
          <w14:textFill>
            <w14:solidFill>
              <w14:schemeClr w14:val="tx1"/>
            </w14:solidFill>
          </w14:textFill>
        </w:rPr>
        <w:t>（三）对研究内容做重大调整；</w:t>
      </w:r>
    </w:p>
    <w:p w14:paraId="789526C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（四）变更课题管理单位；</w:t>
      </w:r>
    </w:p>
    <w:p w14:paraId="0CFE5E2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（五）申请延期（最多延期1年）；</w:t>
      </w:r>
    </w:p>
    <w:p w14:paraId="156E52A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（六）申请撤项；</w:t>
      </w:r>
    </w:p>
    <w:p w14:paraId="713B5B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未经本会秘书处批准，擅自进行上述变更的课题，将不予结题。</w:t>
      </w:r>
    </w:p>
    <w:p w14:paraId="0D215A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第二十二条  凡有下列情况之一者，本会秘书处做撤项处理，被撤项的课题负责人三年内不得申请新课题：</w:t>
      </w:r>
    </w:p>
    <w:p w14:paraId="53A1F98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（一）课题研究存在政治问题；</w:t>
      </w:r>
    </w:p>
    <w:p w14:paraId="07EE316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（二）剽窃他人成果，弄虚作假；</w:t>
      </w:r>
    </w:p>
    <w:p w14:paraId="57E9AD8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（三）借课题研究之名，谋取不当利益；</w:t>
      </w:r>
    </w:p>
    <w:p w14:paraId="3AB2287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（四）盗用公章或私刻课题公章；</w:t>
      </w:r>
    </w:p>
    <w:p w14:paraId="5FC67D8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（五）严重违反财务制度；</w:t>
      </w:r>
    </w:p>
    <w:p w14:paraId="5CCB3F6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（六）与批准的课题设计严重不符；</w:t>
      </w:r>
    </w:p>
    <w:p w14:paraId="7C4CEAB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（七）逾期不能结题；</w:t>
      </w:r>
    </w:p>
    <w:p w14:paraId="642A7A8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（八）无故终止课题研究工作。</w:t>
      </w:r>
    </w:p>
    <w:p w14:paraId="66EFBEB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p>
    <w:p w14:paraId="78BD7CC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第六章  结题鉴定</w:t>
      </w:r>
    </w:p>
    <w:p w14:paraId="18680C5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第二十三条  课题研究工作完成后，应接受本会或受委托单位组织的成果鉴定和结题验收。成果鉴定分“通过”、“不予通过”两个等级。</w:t>
      </w:r>
    </w:p>
    <w:p w14:paraId="6AAD8AB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第二十四条  结题鉴定必须准备的文件包括：</w:t>
      </w:r>
    </w:p>
    <w:p w14:paraId="1EAF820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（一）立项证书复印件；</w:t>
      </w:r>
    </w:p>
    <w:p w14:paraId="4E1BD71A">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（二）开题报告复印件；</w:t>
      </w:r>
    </w:p>
    <w:p w14:paraId="1D17DFC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（三）结题报告（主要研究意义、研究对象、研究内容、研究方法、研究成果、创新点等）；</w:t>
      </w:r>
    </w:p>
    <w:p w14:paraId="37EFCAC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（四）工作报告（组织工作、研究过程、大事记等）；</w:t>
      </w:r>
    </w:p>
    <w:p w14:paraId="0542073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（五）课题成果材料及相关佐证；</w:t>
      </w:r>
    </w:p>
    <w:p w14:paraId="511B65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（六）重要变更申请及获准批复。</w:t>
      </w:r>
    </w:p>
    <w:p w14:paraId="73DA2B8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第二十五条  结题鉴定通常采取会议单独鉴定、会议集中鉴定的方式。经批准后也可采用通讯鉴定、免于鉴定的方式进行。</w:t>
      </w:r>
    </w:p>
    <w:p w14:paraId="231E4D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第二十六条  结题鉴定专家通常为熟悉课题研究内容领域的副高级及以上职称的专家，人数为奇数（至少3人）。课题组成员、顾问不能担任本课题的鉴定专家，所在单位参与鉴定的专家不超过1人。</w:t>
      </w:r>
    </w:p>
    <w:p w14:paraId="5C85BAC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第二十七条  重大课题由本会秘书处组织单独鉴定。重点课题和专项课题结题的鉴定专家由本会秘书处从专家库中委派；一般课题的结题鉴定专家可由课题负责人所在受委托单位按照相关标准自行聘请，也可请本会秘书处协助推荐；最终鉴定结果由秘书处审核。</w:t>
      </w:r>
    </w:p>
    <w:p w14:paraId="5639EB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第二十八条  提交结题鉴定的课题成果可以以下形式之一或多种形式呈现：</w:t>
      </w:r>
    </w:p>
    <w:p w14:paraId="07172B9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（一）正式出版或发表的专著、论文等（重点课题结题须在中文核心期刊或正规出版物至少发表1篇论文）；</w:t>
      </w:r>
    </w:p>
    <w:p w14:paraId="1EEF910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（二）被教育行政部门采纳的决策咨询报告、政策建议等；</w:t>
      </w:r>
    </w:p>
    <w:p w14:paraId="679B7F3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（三）获各级教育行政部门评选的教学、科研成果奖项；</w:t>
      </w:r>
    </w:p>
    <w:p w14:paraId="536CAB1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（四）在区域范围内获得推广并产生实际效果的教育教学改革方案等。</w:t>
      </w:r>
    </w:p>
    <w:p w14:paraId="0AEB5A3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第二十九条  具备下列条件之一者可申请免于鉴定：</w:t>
      </w:r>
    </w:p>
    <w:p w14:paraId="01F165F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（一）课题成果的主体部分获省部级及以上教学成果奖励或教育科学研究成果奖励，课题负责人须为第一获奖人；</w:t>
      </w:r>
    </w:p>
    <w:p w14:paraId="24E1C1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（二）课题研究成果的主要结论被区级及以上行政部门明确采纳。</w:t>
      </w:r>
    </w:p>
    <w:p w14:paraId="03C710E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（三）课题研究成果发表在《人民日报》《光明日报》《经济日报》《求是》《中国社会科学》《教育研究》《心理学报》等报刊，或研究成果被《新华文摘》、人大复印资料转载。研究成果明确标识课题信息（</w:t>
      </w:r>
      <w:r>
        <w:rPr>
          <w:rFonts w:hint="eastAsia" w:ascii="仿宋" w:hAnsi="仿宋" w:eastAsia="仿宋"/>
          <w:color w:val="000000" w:themeColor="text1"/>
          <w:sz w:val="24"/>
          <w14:textFill>
            <w14:solidFill>
              <w14:schemeClr w14:val="tx1"/>
            </w14:solidFill>
          </w14:textFill>
        </w:rPr>
        <w:t>“北京市教育学会‘十五五’</w:t>
      </w:r>
      <w:r>
        <w:rPr>
          <w:rFonts w:hint="eastAsia" w:ascii="仿宋" w:hAnsi="仿宋" w:eastAsia="仿宋"/>
          <w:color w:val="000000" w:themeColor="text1"/>
          <w:sz w:val="24"/>
          <w:lang w:val="en-US" w:eastAsia="zh-CN"/>
          <w14:textFill>
            <w14:solidFill>
              <w14:schemeClr w14:val="tx1"/>
            </w14:solidFill>
          </w14:textFill>
        </w:rPr>
        <w:t>规划</w:t>
      </w:r>
      <w:r>
        <w:rPr>
          <w:rFonts w:hint="eastAsia" w:ascii="仿宋" w:hAnsi="仿宋" w:eastAsia="仿宋"/>
          <w:color w:val="000000" w:themeColor="text1"/>
          <w:sz w:val="24"/>
          <w14:textFill>
            <w14:solidFill>
              <w14:schemeClr w14:val="tx1"/>
            </w14:solidFill>
          </w14:textFill>
        </w:rPr>
        <w:t>××年度教育科研××××课题（课题批准号：××××）成果”</w:t>
      </w:r>
      <w:r>
        <w:rPr>
          <w:rFonts w:hint="eastAsia" w:ascii="仿宋" w:hAnsi="仿宋" w:eastAsia="仿宋"/>
          <w:color w:val="000000" w:themeColor="text1"/>
          <w:sz w:val="24"/>
          <w:szCs w:val="24"/>
          <w:lang w:val="en-US" w:eastAsia="zh-CN"/>
          <w14:textFill>
            <w14:solidFill>
              <w14:schemeClr w14:val="tx1"/>
            </w14:solidFill>
          </w14:textFill>
        </w:rPr>
        <w:t>），且课题负责人为第一作者。</w:t>
      </w:r>
    </w:p>
    <w:p w14:paraId="06E03A4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申请免于鉴定，应充分说明免于鉴定的理由，并附相关证明材料。重大课题不得申请免于鉴定。</w:t>
      </w:r>
    </w:p>
    <w:p w14:paraId="6328466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第三十条  课题鉴定程序：</w:t>
      </w:r>
    </w:p>
    <w:p w14:paraId="1B22A9E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（一）课题负责人向</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或本会秘书处提出鉴定申请；</w:t>
      </w:r>
    </w:p>
    <w:p w14:paraId="1BDBCDE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（二）准备好鉴定的必要文件（一式三或五份）；</w:t>
      </w:r>
    </w:p>
    <w:p w14:paraId="5A7683A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（三）聘请鉴定专家，并将文件送交专家手中；</w:t>
      </w:r>
    </w:p>
    <w:p w14:paraId="0FA5D07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（四）专家鉴定结论交课题组，课题组将其交由受委托单位报本会秘书处。</w:t>
      </w:r>
    </w:p>
    <w:p w14:paraId="11EDDFD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（五）经专家鉴定的课题经本会秘书处确认后，颁发结题证书。</w:t>
      </w:r>
    </w:p>
    <w:p w14:paraId="7224125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p>
    <w:p w14:paraId="4CC401D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default"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第七章  经费与保障</w:t>
      </w:r>
    </w:p>
    <w:p w14:paraId="1686C8D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第三十一条  经费是课题研究的基本保障条件。本会教育科研重大课题由本会给予部分资助，其他类别课题研究经费自筹。</w:t>
      </w:r>
    </w:p>
    <w:p w14:paraId="22F0D4D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第三十二条  课题申报时需说明经费来源，数额与用途。经费的筹集、预算和使用要符合国家财务制度及相关部门有关规定，并由出资单位或课题负责人所在单位进行管理。</w:t>
      </w:r>
    </w:p>
    <w:p w14:paraId="5AFF44C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p>
    <w:p w14:paraId="4F12E4CB">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第八章  成果推广</w:t>
      </w:r>
    </w:p>
    <w:p w14:paraId="22E01F3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第三十三条  本会秘书处、</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、课题负责人及课题负责人所在单位应采取相应措施加强对北京市教育学会科研课题成果的宣传、推广和转化应用，充分发挥其在创新理论、服务决策、指导实践、引导舆论中的作用。</w:t>
      </w:r>
    </w:p>
    <w:p w14:paraId="0B19F77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第三十四条  本会秘书处不定期对课题阶段性成果和最终成果进行评价，加强优秀课题成果的宣传、推广，以充分发挥其在教育决策和教育教学改革发展实践中的作用。推广方式包括推荐报刊发表，利用</w:t>
      </w:r>
      <w:r>
        <w:rPr>
          <w:rFonts w:hint="eastAsia" w:ascii="仿宋" w:hAnsi="仿宋" w:eastAsia="仿宋"/>
          <w:color w:val="000000" w:themeColor="text1"/>
          <w:sz w:val="24"/>
          <w14:textFill>
            <w14:solidFill>
              <w14:schemeClr w14:val="tx1"/>
            </w14:solidFill>
          </w14:textFill>
        </w:rPr>
        <w:t>本会官网、官微和其他相关媒体</w:t>
      </w:r>
      <w:r>
        <w:rPr>
          <w:rFonts w:hint="eastAsia" w:ascii="仿宋" w:hAnsi="仿宋" w:eastAsia="仿宋"/>
          <w:color w:val="000000" w:themeColor="text1"/>
          <w:sz w:val="24"/>
          <w:szCs w:val="24"/>
          <w:lang w:val="en-US" w:eastAsia="zh-CN"/>
          <w14:textFill>
            <w14:solidFill>
              <w14:schemeClr w14:val="tx1"/>
            </w14:solidFill>
          </w14:textFill>
        </w:rPr>
        <w:t>宣传推广，报送有关部门作为决策参考，召开课题成果报告会发布研究成果信息，组织多种形式的实验推广、专题培训或学术研讨、</w:t>
      </w:r>
      <w:r>
        <w:rPr>
          <w:rFonts w:hint="eastAsia" w:ascii="仿宋" w:hAnsi="仿宋" w:eastAsia="仿宋"/>
          <w:color w:val="000000" w:themeColor="text1"/>
          <w:sz w:val="24"/>
          <w14:textFill>
            <w14:solidFill>
              <w14:schemeClr w14:val="tx1"/>
            </w14:solidFill>
          </w14:textFill>
        </w:rPr>
        <w:t>推荐参加教学成果奖评选</w:t>
      </w:r>
      <w:r>
        <w:rPr>
          <w:rFonts w:hint="eastAsia" w:ascii="仿宋" w:hAnsi="仿宋" w:eastAsia="仿宋"/>
          <w:color w:val="000000" w:themeColor="text1"/>
          <w:sz w:val="24"/>
          <w:szCs w:val="24"/>
          <w:lang w:val="en-US" w:eastAsia="zh-CN"/>
          <w14:textFill>
            <w14:solidFill>
              <w14:schemeClr w14:val="tx1"/>
            </w14:solidFill>
          </w14:textFill>
        </w:rPr>
        <w:t>等。</w:t>
      </w:r>
    </w:p>
    <w:p w14:paraId="7E37677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第三十五条  课题组应充分利用各种途径扩大研究成果的影响力，努力促进研究成果向实践转化；课题负责人所在单位应积极为课题成果宣传推广提供相应的条件保障；</w:t>
      </w:r>
      <w:r>
        <w:rPr>
          <w:rFonts w:hint="default" w:ascii="仿宋" w:hAnsi="仿宋" w:eastAsia="仿宋"/>
          <w:color w:val="000000" w:themeColor="text1"/>
          <w:sz w:val="24"/>
          <w:szCs w:val="24"/>
          <w:lang w:val="en-US" w:eastAsia="zh-CN"/>
          <w14:textFill>
            <w14:solidFill>
              <w14:schemeClr w14:val="tx1"/>
            </w14:solidFill>
          </w14:textFill>
        </w:rPr>
        <w:t>受委托单位</w:t>
      </w:r>
      <w:r>
        <w:rPr>
          <w:rFonts w:hint="eastAsia" w:ascii="仿宋" w:hAnsi="仿宋" w:eastAsia="仿宋"/>
          <w:color w:val="000000" w:themeColor="text1"/>
          <w:sz w:val="24"/>
          <w:szCs w:val="24"/>
          <w:lang w:val="en-US" w:eastAsia="zh-CN"/>
          <w14:textFill>
            <w14:solidFill>
              <w14:schemeClr w14:val="tx1"/>
            </w14:solidFill>
          </w14:textFill>
        </w:rPr>
        <w:t>应适时组织相关成果的宣传推介会，加强对优秀成果的宣传报道，积极扩大优秀成果的影响力。</w:t>
      </w:r>
    </w:p>
    <w:p w14:paraId="471547C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sz w:val="24"/>
          <w:szCs w:val="32"/>
        </w:rPr>
      </w:pPr>
      <w:r>
        <w:rPr>
          <w:rFonts w:hint="eastAsia" w:ascii="仿宋" w:hAnsi="仿宋" w:eastAsia="仿宋"/>
          <w:color w:val="000000" w:themeColor="text1"/>
          <w:sz w:val="24"/>
          <w:szCs w:val="24"/>
          <w:lang w:val="en-US" w:eastAsia="zh-CN"/>
          <w14:textFill>
            <w14:solidFill>
              <w14:schemeClr w14:val="tx1"/>
            </w14:solidFill>
          </w14:textFill>
        </w:rPr>
        <w:t>第三十六条  课题组应及时向秘书处报送各阶段研究成果，积极向北京市教育学会会刊投稿，及时宣传推广课题研究最新成果，保障课题研究的时效性。</w:t>
      </w:r>
      <w:r>
        <w:rPr>
          <w:rFonts w:hint="eastAsia" w:ascii="宋体" w:hAnsi="宋体" w:eastAsia="宋体" w:cs="宋体"/>
          <w:sz w:val="24"/>
          <w:szCs w:val="32"/>
        </w:rPr>
        <w:t>　</w:t>
      </w:r>
    </w:p>
    <w:p w14:paraId="0512242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bookmarkStart w:id="0" w:name="_GoBack"/>
      <w:bookmarkEnd w:id="0"/>
      <w:r>
        <w:rPr>
          <w:rFonts w:hint="eastAsia" w:ascii="宋体" w:hAnsi="宋体" w:eastAsia="宋体" w:cs="宋体"/>
          <w:sz w:val="24"/>
          <w:szCs w:val="32"/>
        </w:rPr>
        <w:t>　</w:t>
      </w:r>
    </w:p>
    <w:p w14:paraId="4273A4E9">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仿宋_GB2312" w:hAnsi="仿宋_GB2312" w:eastAsia="仿宋_GB2312" w:cs="仿宋_GB2312"/>
          <w:b/>
          <w:bCs w:val="0"/>
          <w:sz w:val="28"/>
          <w:szCs w:val="22"/>
          <w:lang w:val="en-US" w:eastAsia="zh-CN"/>
        </w:rPr>
      </w:pPr>
      <w:r>
        <w:rPr>
          <w:rFonts w:hint="eastAsia" w:ascii="仿宋_GB2312" w:hAnsi="仿宋_GB2312" w:eastAsia="仿宋_GB2312" w:cs="仿宋_GB2312"/>
          <w:b/>
          <w:bCs w:val="0"/>
          <w:sz w:val="28"/>
          <w:szCs w:val="22"/>
          <w:lang w:val="en-US" w:eastAsia="zh-CN"/>
        </w:rPr>
        <w:t>第九章  附则</w:t>
      </w:r>
    </w:p>
    <w:p w14:paraId="698A46B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第三十七条  本管理办法的解释权属于北京市教育学会。</w:t>
      </w:r>
    </w:p>
    <w:p w14:paraId="461CB9B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Calibri" w:hAnsi="Calibri" w:eastAsia="仿宋" w:cs="Calibri"/>
          <w:color w:val="auto"/>
          <w:sz w:val="24"/>
          <w:szCs w:val="24"/>
        </w:rPr>
      </w:pPr>
      <w:r>
        <w:rPr>
          <w:rFonts w:hint="eastAsia" w:ascii="仿宋" w:hAnsi="仿宋" w:eastAsia="仿宋"/>
          <w:color w:val="000000" w:themeColor="text1"/>
          <w:sz w:val="24"/>
          <w:szCs w:val="24"/>
          <w:lang w:val="en-US" w:eastAsia="zh-CN"/>
          <w14:textFill>
            <w14:solidFill>
              <w14:schemeClr w14:val="tx1"/>
            </w14:solidFill>
          </w14:textFill>
        </w:rPr>
        <w:t>本办法自公布之日起执行。</w:t>
      </w:r>
    </w:p>
    <w:p w14:paraId="28D41642">
      <w:pPr>
        <w:jc w:val="left"/>
        <w:rPr>
          <w:rFonts w:hint="eastAsia"/>
          <w:color w:val="auto"/>
          <w:sz w:val="22"/>
          <w:szCs w:val="22"/>
        </w:rPr>
      </w:pPr>
    </w:p>
    <w:sectPr>
      <w:footerReference r:id="rId3" w:type="default"/>
      <w:pgSz w:w="11906" w:h="16838"/>
      <w:pgMar w:top="1134"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042FB">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5D2D0">
                          <w:pPr>
                            <w:pStyle w:val="12"/>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85D2D0">
                    <w:pPr>
                      <w:pStyle w:val="12"/>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BF2"/>
    <w:rsid w:val="00004530"/>
    <w:rsid w:val="000B41AE"/>
    <w:rsid w:val="000C36AF"/>
    <w:rsid w:val="000D6E31"/>
    <w:rsid w:val="000D7C63"/>
    <w:rsid w:val="0010149B"/>
    <w:rsid w:val="00134DE0"/>
    <w:rsid w:val="00172A27"/>
    <w:rsid w:val="00184935"/>
    <w:rsid w:val="00195233"/>
    <w:rsid w:val="001B3F0C"/>
    <w:rsid w:val="001B7E30"/>
    <w:rsid w:val="00200839"/>
    <w:rsid w:val="00231937"/>
    <w:rsid w:val="002539B3"/>
    <w:rsid w:val="00281A46"/>
    <w:rsid w:val="002916F9"/>
    <w:rsid w:val="002C7B4C"/>
    <w:rsid w:val="002E6E6F"/>
    <w:rsid w:val="0032637F"/>
    <w:rsid w:val="00364976"/>
    <w:rsid w:val="003E07F0"/>
    <w:rsid w:val="003F4702"/>
    <w:rsid w:val="00415099"/>
    <w:rsid w:val="004155AB"/>
    <w:rsid w:val="00442BC6"/>
    <w:rsid w:val="00482602"/>
    <w:rsid w:val="00492431"/>
    <w:rsid w:val="004D06AE"/>
    <w:rsid w:val="004D5BCD"/>
    <w:rsid w:val="004F0050"/>
    <w:rsid w:val="004F5E0C"/>
    <w:rsid w:val="004F74E4"/>
    <w:rsid w:val="00500962"/>
    <w:rsid w:val="00511AE2"/>
    <w:rsid w:val="00537C28"/>
    <w:rsid w:val="00553C60"/>
    <w:rsid w:val="00564F6B"/>
    <w:rsid w:val="00592B5F"/>
    <w:rsid w:val="00594571"/>
    <w:rsid w:val="005A7447"/>
    <w:rsid w:val="005B2E96"/>
    <w:rsid w:val="005B5224"/>
    <w:rsid w:val="005E5CBB"/>
    <w:rsid w:val="005E5F32"/>
    <w:rsid w:val="00607929"/>
    <w:rsid w:val="00625D58"/>
    <w:rsid w:val="00632E0D"/>
    <w:rsid w:val="00636D91"/>
    <w:rsid w:val="006615DB"/>
    <w:rsid w:val="00673154"/>
    <w:rsid w:val="006A3F3D"/>
    <w:rsid w:val="006B25F4"/>
    <w:rsid w:val="006C099F"/>
    <w:rsid w:val="007118C7"/>
    <w:rsid w:val="00733532"/>
    <w:rsid w:val="00757E1E"/>
    <w:rsid w:val="007A368E"/>
    <w:rsid w:val="007C6376"/>
    <w:rsid w:val="007D6EDF"/>
    <w:rsid w:val="00807DFE"/>
    <w:rsid w:val="008505AA"/>
    <w:rsid w:val="008B25C7"/>
    <w:rsid w:val="008D4BAC"/>
    <w:rsid w:val="0090584D"/>
    <w:rsid w:val="00927C0A"/>
    <w:rsid w:val="009314BD"/>
    <w:rsid w:val="009436BF"/>
    <w:rsid w:val="009438EE"/>
    <w:rsid w:val="00944FDA"/>
    <w:rsid w:val="00951418"/>
    <w:rsid w:val="00972D61"/>
    <w:rsid w:val="009948F1"/>
    <w:rsid w:val="009C2BED"/>
    <w:rsid w:val="009E16F4"/>
    <w:rsid w:val="009E6DE6"/>
    <w:rsid w:val="00A33353"/>
    <w:rsid w:val="00AC6548"/>
    <w:rsid w:val="00AE293A"/>
    <w:rsid w:val="00AE7BFC"/>
    <w:rsid w:val="00AF601D"/>
    <w:rsid w:val="00B02EA4"/>
    <w:rsid w:val="00B4146B"/>
    <w:rsid w:val="00B74D84"/>
    <w:rsid w:val="00B9326A"/>
    <w:rsid w:val="00B971CE"/>
    <w:rsid w:val="00BA6D9C"/>
    <w:rsid w:val="00BF1466"/>
    <w:rsid w:val="00BF7BD5"/>
    <w:rsid w:val="00BF7D46"/>
    <w:rsid w:val="00C0083A"/>
    <w:rsid w:val="00C022C5"/>
    <w:rsid w:val="00C22F7A"/>
    <w:rsid w:val="00C466FD"/>
    <w:rsid w:val="00C8247C"/>
    <w:rsid w:val="00C92761"/>
    <w:rsid w:val="00CB7D6D"/>
    <w:rsid w:val="00CE387F"/>
    <w:rsid w:val="00CE635F"/>
    <w:rsid w:val="00CE6BFB"/>
    <w:rsid w:val="00CF04D4"/>
    <w:rsid w:val="00CF1C20"/>
    <w:rsid w:val="00D215C5"/>
    <w:rsid w:val="00D40946"/>
    <w:rsid w:val="00D52B20"/>
    <w:rsid w:val="00D530B8"/>
    <w:rsid w:val="00D676C8"/>
    <w:rsid w:val="00D678FD"/>
    <w:rsid w:val="00D8370C"/>
    <w:rsid w:val="00D90462"/>
    <w:rsid w:val="00DD21AC"/>
    <w:rsid w:val="00DE5743"/>
    <w:rsid w:val="00DF3B52"/>
    <w:rsid w:val="00E311F6"/>
    <w:rsid w:val="00E36BF3"/>
    <w:rsid w:val="00E46D06"/>
    <w:rsid w:val="00EA6AF1"/>
    <w:rsid w:val="00F46032"/>
    <w:rsid w:val="00F5623F"/>
    <w:rsid w:val="00FD724D"/>
    <w:rsid w:val="01A55A59"/>
    <w:rsid w:val="01B7295E"/>
    <w:rsid w:val="01BF4892"/>
    <w:rsid w:val="052341B5"/>
    <w:rsid w:val="057401E5"/>
    <w:rsid w:val="07045407"/>
    <w:rsid w:val="073A2679"/>
    <w:rsid w:val="076F3599"/>
    <w:rsid w:val="08C57291"/>
    <w:rsid w:val="095E1B17"/>
    <w:rsid w:val="0A0D498F"/>
    <w:rsid w:val="0B377D0E"/>
    <w:rsid w:val="0CD93263"/>
    <w:rsid w:val="0DC53105"/>
    <w:rsid w:val="0E140CE1"/>
    <w:rsid w:val="0ED551F7"/>
    <w:rsid w:val="10865C7F"/>
    <w:rsid w:val="108A10F2"/>
    <w:rsid w:val="10CD21A8"/>
    <w:rsid w:val="13772D7D"/>
    <w:rsid w:val="15853F88"/>
    <w:rsid w:val="15FA1A68"/>
    <w:rsid w:val="167252A4"/>
    <w:rsid w:val="17A37FCF"/>
    <w:rsid w:val="1A0664DD"/>
    <w:rsid w:val="1A5A3C35"/>
    <w:rsid w:val="1AFB20B1"/>
    <w:rsid w:val="1B3C2194"/>
    <w:rsid w:val="1B807D14"/>
    <w:rsid w:val="1BED5459"/>
    <w:rsid w:val="1EDB05D2"/>
    <w:rsid w:val="1F312BF1"/>
    <w:rsid w:val="1F4145EE"/>
    <w:rsid w:val="1FC906EB"/>
    <w:rsid w:val="2141740C"/>
    <w:rsid w:val="22743537"/>
    <w:rsid w:val="24BB272F"/>
    <w:rsid w:val="263018D8"/>
    <w:rsid w:val="27CA23F5"/>
    <w:rsid w:val="28FC0D2E"/>
    <w:rsid w:val="2B2D7144"/>
    <w:rsid w:val="2B7E3F06"/>
    <w:rsid w:val="2DA506A1"/>
    <w:rsid w:val="2DD4649B"/>
    <w:rsid w:val="2ECD6C74"/>
    <w:rsid w:val="311C359A"/>
    <w:rsid w:val="318907C6"/>
    <w:rsid w:val="32D82346"/>
    <w:rsid w:val="36314D17"/>
    <w:rsid w:val="39590168"/>
    <w:rsid w:val="3AEC2049"/>
    <w:rsid w:val="3C8B64E1"/>
    <w:rsid w:val="3D031AB2"/>
    <w:rsid w:val="3FDD7C80"/>
    <w:rsid w:val="3FFE0D0A"/>
    <w:rsid w:val="410A340F"/>
    <w:rsid w:val="41EC3461"/>
    <w:rsid w:val="433E258D"/>
    <w:rsid w:val="43CC5135"/>
    <w:rsid w:val="44BB4395"/>
    <w:rsid w:val="45A93085"/>
    <w:rsid w:val="466A4950"/>
    <w:rsid w:val="46FB5655"/>
    <w:rsid w:val="47060224"/>
    <w:rsid w:val="47F13697"/>
    <w:rsid w:val="48B36F53"/>
    <w:rsid w:val="49B2494D"/>
    <w:rsid w:val="49BD2ED3"/>
    <w:rsid w:val="4BCD2D26"/>
    <w:rsid w:val="4D151ABA"/>
    <w:rsid w:val="4D3B5F1A"/>
    <w:rsid w:val="4F700C50"/>
    <w:rsid w:val="509727E6"/>
    <w:rsid w:val="51044113"/>
    <w:rsid w:val="51DD692F"/>
    <w:rsid w:val="54D20290"/>
    <w:rsid w:val="55766B67"/>
    <w:rsid w:val="565155E8"/>
    <w:rsid w:val="5743028E"/>
    <w:rsid w:val="57920B4C"/>
    <w:rsid w:val="57AF2B0B"/>
    <w:rsid w:val="583F3E8F"/>
    <w:rsid w:val="5A325088"/>
    <w:rsid w:val="5CA912F7"/>
    <w:rsid w:val="5CF86704"/>
    <w:rsid w:val="5D1C0528"/>
    <w:rsid w:val="5D812E10"/>
    <w:rsid w:val="5D8D05F2"/>
    <w:rsid w:val="5DDE3802"/>
    <w:rsid w:val="5EBE02DB"/>
    <w:rsid w:val="5F4B5B12"/>
    <w:rsid w:val="5F9E3B9D"/>
    <w:rsid w:val="5FE01AB3"/>
    <w:rsid w:val="603F0DA5"/>
    <w:rsid w:val="6387614B"/>
    <w:rsid w:val="638D4AC5"/>
    <w:rsid w:val="65D83E88"/>
    <w:rsid w:val="669E6224"/>
    <w:rsid w:val="6A377C42"/>
    <w:rsid w:val="6AEA7A80"/>
    <w:rsid w:val="6BBE10B9"/>
    <w:rsid w:val="6BBF66EB"/>
    <w:rsid w:val="6C4A288D"/>
    <w:rsid w:val="6C4E2755"/>
    <w:rsid w:val="6D7B2CE2"/>
    <w:rsid w:val="6E0645FC"/>
    <w:rsid w:val="6ECF755A"/>
    <w:rsid w:val="704B5948"/>
    <w:rsid w:val="70D24973"/>
    <w:rsid w:val="71B02FA3"/>
    <w:rsid w:val="72F3388B"/>
    <w:rsid w:val="750951B1"/>
    <w:rsid w:val="7548217D"/>
    <w:rsid w:val="780E6661"/>
    <w:rsid w:val="7A3525A4"/>
    <w:rsid w:val="7A9344D5"/>
    <w:rsid w:val="7B780783"/>
    <w:rsid w:val="7C3B33F3"/>
    <w:rsid w:val="7C4B4301"/>
    <w:rsid w:val="7D40521F"/>
    <w:rsid w:val="7D7326D0"/>
    <w:rsid w:val="7D930822"/>
    <w:rsid w:val="7EE51C2E"/>
    <w:rsid w:val="7F82628B"/>
    <w:rsid w:val="7F9C4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name="Table Web 2"/>
    <w:lsdException w:unhideWhenUsed="0" w:uiPriority="0" w:name="Table Web 3"/>
    <w:lsdException w:qFormat="1" w:unhideWhenUsed="0" w:uiPriority="0" w:semiHidden="0" w:name="Balloon Text"/>
    <w:lsdException w:qFormat="1" w:unhideWhenUsed="0" w:uiPriority="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napToGrid w:val="0"/>
      <w:spacing w:after="240"/>
      <w:jc w:val="center"/>
      <w:outlineLvl w:val="0"/>
    </w:pPr>
    <w:rPr>
      <w:rFonts w:ascii="Calibri" w:hAnsi="Calibri" w:eastAsia="华文中宋" w:cs="宋体"/>
      <w:b/>
      <w:bCs/>
      <w:kern w:val="44"/>
      <w:sz w:val="44"/>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36"/>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link w:val="22"/>
    <w:qFormat/>
    <w:uiPriority w:val="0"/>
    <w:pPr>
      <w:spacing w:after="120"/>
    </w:pPr>
  </w:style>
  <w:style w:type="paragraph" w:styleId="8">
    <w:name w:val="Body Text Indent"/>
    <w:basedOn w:val="1"/>
    <w:qFormat/>
    <w:uiPriority w:val="0"/>
    <w:pPr>
      <w:ind w:firstLine="555"/>
    </w:pPr>
    <w:rPr>
      <w:rFonts w:ascii="楷体_GB2312" w:eastAsia="楷体_GB2312"/>
      <w:sz w:val="28"/>
    </w:rPr>
  </w:style>
  <w:style w:type="paragraph" w:styleId="9">
    <w:name w:val="Plain Text"/>
    <w:basedOn w:val="1"/>
    <w:link w:val="23"/>
    <w:qFormat/>
    <w:uiPriority w:val="0"/>
    <w:rPr>
      <w:rFonts w:ascii="宋体" w:hAnsi="Courier New"/>
      <w:szCs w:val="20"/>
    </w:rPr>
  </w:style>
  <w:style w:type="paragraph" w:styleId="10">
    <w:name w:val="Date"/>
    <w:basedOn w:val="1"/>
    <w:next w:val="1"/>
    <w:link w:val="24"/>
    <w:qFormat/>
    <w:uiPriority w:val="0"/>
    <w:pPr>
      <w:ind w:left="100" w:leftChars="2500"/>
    </w:pPr>
  </w:style>
  <w:style w:type="paragraph" w:styleId="11">
    <w:name w:val="Balloon Text"/>
    <w:basedOn w:val="1"/>
    <w:link w:val="25"/>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sz w:val="18"/>
    </w:rPr>
  </w:style>
  <w:style w:type="table" w:styleId="16">
    <w:name w:val="Table Grid"/>
    <w:basedOn w:val="15"/>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qFormat/>
    <w:uiPriority w:val="0"/>
  </w:style>
  <w:style w:type="character" w:styleId="20">
    <w:name w:val="Hyperlink"/>
    <w:basedOn w:val="17"/>
    <w:qFormat/>
    <w:uiPriority w:val="0"/>
    <w:rPr>
      <w:color w:val="0000FF"/>
      <w:u w:val="single"/>
    </w:rPr>
  </w:style>
  <w:style w:type="character" w:styleId="21">
    <w:name w:val="footnote reference"/>
    <w:basedOn w:val="17"/>
    <w:qFormat/>
    <w:uiPriority w:val="0"/>
    <w:rPr>
      <w:vertAlign w:val="superscript"/>
    </w:rPr>
  </w:style>
  <w:style w:type="character" w:customStyle="1" w:styleId="22">
    <w:name w:val="正文文本 字符"/>
    <w:link w:val="7"/>
    <w:qFormat/>
    <w:uiPriority w:val="0"/>
    <w:rPr>
      <w:rFonts w:eastAsia="宋体"/>
      <w:kern w:val="2"/>
      <w:sz w:val="21"/>
      <w:szCs w:val="24"/>
      <w:lang w:val="en-US" w:eastAsia="zh-CN" w:bidi="ar-SA"/>
    </w:rPr>
  </w:style>
  <w:style w:type="character" w:customStyle="1" w:styleId="23">
    <w:name w:val="纯文本 字符"/>
    <w:link w:val="9"/>
    <w:qFormat/>
    <w:uiPriority w:val="0"/>
    <w:rPr>
      <w:rFonts w:ascii="宋体" w:hAnsi="Courier New" w:eastAsia="宋体"/>
      <w:kern w:val="2"/>
      <w:sz w:val="21"/>
      <w:lang w:val="en-US" w:eastAsia="zh-CN" w:bidi="ar-SA"/>
    </w:rPr>
  </w:style>
  <w:style w:type="character" w:customStyle="1" w:styleId="24">
    <w:name w:val="日期 字符"/>
    <w:link w:val="10"/>
    <w:qFormat/>
    <w:uiPriority w:val="0"/>
    <w:rPr>
      <w:kern w:val="2"/>
      <w:sz w:val="21"/>
      <w:szCs w:val="24"/>
    </w:rPr>
  </w:style>
  <w:style w:type="character" w:customStyle="1" w:styleId="25">
    <w:name w:val="批注框文本 字符"/>
    <w:link w:val="11"/>
    <w:qFormat/>
    <w:uiPriority w:val="0"/>
    <w:rPr>
      <w:kern w:val="2"/>
      <w:sz w:val="18"/>
      <w:szCs w:val="18"/>
    </w:rPr>
  </w:style>
  <w:style w:type="character" w:customStyle="1" w:styleId="26">
    <w:name w:val="页脚 字符"/>
    <w:link w:val="12"/>
    <w:qFormat/>
    <w:uiPriority w:val="99"/>
    <w:rPr>
      <w:kern w:val="2"/>
      <w:sz w:val="18"/>
      <w:szCs w:val="18"/>
    </w:rPr>
  </w:style>
  <w:style w:type="character" w:customStyle="1" w:styleId="27">
    <w:name w:val="font11"/>
    <w:qFormat/>
    <w:uiPriority w:val="0"/>
    <w:rPr>
      <w:rFonts w:hint="eastAsia" w:ascii="宋体" w:hAnsi="宋体" w:eastAsia="宋体" w:cs="宋体"/>
      <w:color w:val="000000"/>
      <w:sz w:val="22"/>
      <w:szCs w:val="22"/>
      <w:u w:val="none"/>
    </w:rPr>
  </w:style>
  <w:style w:type="character" w:customStyle="1" w:styleId="28">
    <w:name w:val="font51"/>
    <w:qFormat/>
    <w:uiPriority w:val="0"/>
    <w:rPr>
      <w:rFonts w:hint="eastAsia" w:ascii="宋体" w:hAnsi="宋体" w:eastAsia="宋体" w:cs="宋体"/>
      <w:color w:val="000000"/>
      <w:sz w:val="24"/>
      <w:szCs w:val="24"/>
      <w:u w:val="single"/>
    </w:rPr>
  </w:style>
  <w:style w:type="character" w:customStyle="1" w:styleId="29">
    <w:name w:val="font91"/>
    <w:qFormat/>
    <w:uiPriority w:val="0"/>
    <w:rPr>
      <w:rFonts w:hint="eastAsia" w:ascii="宋体" w:hAnsi="宋体" w:eastAsia="宋体" w:cs="宋体"/>
      <w:color w:val="000000"/>
      <w:sz w:val="22"/>
      <w:szCs w:val="22"/>
      <w:u w:val="single"/>
    </w:rPr>
  </w:style>
  <w:style w:type="character" w:customStyle="1" w:styleId="30">
    <w:name w:val="font81"/>
    <w:qFormat/>
    <w:uiPriority w:val="0"/>
    <w:rPr>
      <w:rFonts w:hint="eastAsia" w:ascii="宋体" w:hAnsi="宋体" w:eastAsia="宋体" w:cs="宋体"/>
      <w:color w:val="000000"/>
      <w:sz w:val="24"/>
      <w:szCs w:val="24"/>
      <w:u w:val="none"/>
    </w:rPr>
  </w:style>
  <w:style w:type="character" w:customStyle="1" w:styleId="31">
    <w:name w:val="font61"/>
    <w:qFormat/>
    <w:uiPriority w:val="0"/>
    <w:rPr>
      <w:rFonts w:hint="eastAsia" w:ascii="宋体" w:hAnsi="宋体" w:eastAsia="宋体" w:cs="宋体"/>
      <w:color w:val="000000"/>
      <w:sz w:val="24"/>
      <w:szCs w:val="24"/>
      <w:u w:val="none"/>
    </w:rPr>
  </w:style>
  <w:style w:type="character" w:customStyle="1" w:styleId="32">
    <w:name w:val="font01"/>
    <w:qFormat/>
    <w:uiPriority w:val="0"/>
    <w:rPr>
      <w:rFonts w:hint="eastAsia" w:ascii="宋体" w:hAnsi="宋体" w:eastAsia="宋体" w:cs="宋体"/>
      <w:color w:val="000000"/>
      <w:sz w:val="22"/>
      <w:szCs w:val="22"/>
      <w:u w:val="none"/>
    </w:rPr>
  </w:style>
  <w:style w:type="paragraph" w:styleId="33">
    <w:name w:val="List Paragraph"/>
    <w:basedOn w:val="1"/>
    <w:qFormat/>
    <w:uiPriority w:val="0"/>
    <w:pPr>
      <w:ind w:firstLine="420" w:firstLineChars="200"/>
    </w:pPr>
  </w:style>
  <w:style w:type="paragraph" w:customStyle="1" w:styleId="34">
    <w:name w:val="_Style 1"/>
    <w:basedOn w:val="1"/>
    <w:qFormat/>
    <w:uiPriority w:val="0"/>
    <w:pPr>
      <w:ind w:firstLine="420" w:firstLineChars="200"/>
    </w:pPr>
  </w:style>
  <w:style w:type="character" w:customStyle="1" w:styleId="35">
    <w:name w:val="未处理的提及1"/>
    <w:unhideWhenUsed/>
    <w:qFormat/>
    <w:uiPriority w:val="99"/>
    <w:rPr>
      <w:color w:val="605E5C"/>
      <w:shd w:val="clear" w:color="auto" w:fill="E1DFDD"/>
    </w:rPr>
  </w:style>
  <w:style w:type="character" w:customStyle="1" w:styleId="36">
    <w:name w:val="标题 3 Char"/>
    <w:link w:val="4"/>
    <w:qFormat/>
    <w:uiPriority w:val="0"/>
    <w:rPr>
      <w:b/>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6C7BC-7749-4FBB-803A-113921DC74A1}">
  <ds:schemaRefs/>
</ds:datastoreItem>
</file>

<file path=docProps/app.xml><?xml version="1.0" encoding="utf-8"?>
<Properties xmlns="http://schemas.openxmlformats.org/officeDocument/2006/extended-properties" xmlns:vt="http://schemas.openxmlformats.org/officeDocument/2006/docPropsVTypes">
  <Template>Normal</Template>
  <Company>jyxh</Company>
  <Pages>7</Pages>
  <Words>4828</Words>
  <Characters>5035</Characters>
  <Lines>105</Lines>
  <Paragraphs>29</Paragraphs>
  <TotalTime>42</TotalTime>
  <ScaleCrop>false</ScaleCrop>
  <LinksUpToDate>false</LinksUpToDate>
  <CharactersWithSpaces>5118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2021-03-24T12:43:00Z</dcterms:created>
  <dc:creator>D</dc:creator>
  <cp:lastModifiedBy>D</cp:lastModifiedBy>
  <cp:lastPrinted>2021-03-24T13:40:00Z</cp:lastPrinted>
  <dcterms:modified xsi:type="dcterms:W3CDTF">2026-04-10T11:26:36Z</dcterms:modified>
  <dc:title>北京市教育学会</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59A4882A04314A358956C61C30AE848C_13</vt:lpwstr>
  </property>
  <property fmtid="{D5CDD505-2E9C-101B-9397-08002B2CF9AE}" pid="4" name="KSOTemplateDocerSaveRecord">
    <vt:lpwstr>eyJoZGlkIjoiN2U5OThlMmJmODQ0NDFlNjQyZjBlNmJhZWY3ZWY4ODQiLCJ1c2VySWQiOiIyMzE4NDA3NjkifQ==</vt:lpwstr>
  </property>
</Properties>
</file>